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C6EED" w14:textId="2CC33856" w:rsidR="001F1466" w:rsidRDefault="00DF1F99">
      <w:hyperlink r:id="rId4" w:history="1">
        <w:r w:rsidRPr="006D362C">
          <w:rPr>
            <w:rStyle w:val="a3"/>
          </w:rPr>
          <w:t>https://mon.tatarstan.ru/publichnie-tseli-i-zadachi-na-2023-god.htm</w:t>
        </w:r>
      </w:hyperlink>
    </w:p>
    <w:p w14:paraId="4E610E4D" w14:textId="77777777" w:rsidR="00DF1F99" w:rsidRDefault="00DF1F99">
      <w:bookmarkStart w:id="0" w:name="_GoBack"/>
      <w:bookmarkEnd w:id="0"/>
    </w:p>
    <w:sectPr w:rsidR="00DF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5D"/>
    <w:rsid w:val="001F1466"/>
    <w:rsid w:val="00485C5D"/>
    <w:rsid w:val="00D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1184"/>
  <w15:chartTrackingRefBased/>
  <w15:docId w15:val="{E4C311E5-6F7C-4ED7-B682-AFECC289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F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F1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n.tatarstan.ru/publichnie-tseli-i-zadachi-na-2023-god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2023-08-11T08:18:00Z</dcterms:created>
  <dcterms:modified xsi:type="dcterms:W3CDTF">2023-08-11T08:19:00Z</dcterms:modified>
</cp:coreProperties>
</file>